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FC1094">
      <w:pPr>
        <w:pStyle w:val="2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Chars="0" w:right="0" w:rightChars="0"/>
        <w:jc w:val="left"/>
        <w:rPr>
          <w:color w:val="1F2329"/>
          <w:sz w:val="24"/>
          <w:szCs w:val="24"/>
        </w:rPr>
      </w:pPr>
      <w:bookmarkStart w:id="0" w:name="_GoBack"/>
      <w:r>
        <w:rPr>
          <w:color w:val="1F2329"/>
          <w:sz w:val="24"/>
          <w:szCs w:val="24"/>
          <w:bdr w:val="none" w:color="auto" w:sz="0" w:space="0"/>
        </w:rPr>
        <w:t>邮政快递网点安防合规标准</w:t>
      </w:r>
      <w:bookmarkEnd w:id="0"/>
      <w:r>
        <w:rPr>
          <w:color w:val="1F2329"/>
          <w:sz w:val="24"/>
          <w:szCs w:val="24"/>
          <w:bdr w:val="none" w:color="auto" w:sz="0" w:space="0"/>
        </w:rPr>
        <w:t>（完整电子版）</w:t>
      </w:r>
    </w:p>
    <w:p w14:paraId="351168C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1F2329"/>
          <w:sz w:val="24"/>
          <w:szCs w:val="24"/>
        </w:rPr>
      </w:pPr>
      <w:r>
        <w:rPr>
          <w:color w:val="1F2329"/>
          <w:sz w:val="24"/>
          <w:szCs w:val="24"/>
          <w:bdr w:val="none" w:color="auto" w:sz="0" w:space="0"/>
        </w:rPr>
        <w:t>一、编制法律与标准依据</w:t>
      </w:r>
    </w:p>
    <w:p w14:paraId="7BEB5E7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1F2329"/>
          <w:sz w:val="24"/>
          <w:szCs w:val="24"/>
        </w:rPr>
      </w:pPr>
      <w:r>
        <w:rPr>
          <w:rFonts w:ascii="宋体" w:hAnsi="宋体" w:eastAsia="宋体" w:cs="宋体"/>
          <w:snapToGrid/>
          <w:color w:val="1F2329"/>
          <w:kern w:val="0"/>
          <w:sz w:val="24"/>
          <w:szCs w:val="24"/>
          <w:bdr w:val="none" w:color="auto" w:sz="0" w:space="0"/>
          <w:lang w:val="en-US" w:eastAsia="zh-CN" w:bidi="ar"/>
        </w:rPr>
        <w:t>本标准适用于中通、圆通、申通、韵达、极兔等所有社区快递驿站、乡镇末端网点、快递营业门店，依据以下法规、国标、行业规范整理：</w:t>
      </w:r>
    </w:p>
    <w:p w14:paraId="22E74C7D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1F2329"/>
          <w:sz w:val="24"/>
          <w:szCs w:val="24"/>
        </w:rPr>
      </w:pPr>
      <w:r>
        <w:rPr>
          <w:color w:val="1F2329"/>
          <w:sz w:val="24"/>
          <w:szCs w:val="24"/>
          <w:bdr w:val="none" w:color="auto" w:sz="0" w:space="0"/>
        </w:rPr>
        <w:t>《中华人民共和国邮政法》</w:t>
      </w:r>
    </w:p>
    <w:p w14:paraId="52E2B634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1F2329"/>
          <w:sz w:val="24"/>
          <w:szCs w:val="24"/>
        </w:rPr>
      </w:pPr>
      <w:r>
        <w:rPr>
          <w:color w:val="1F2329"/>
          <w:sz w:val="24"/>
          <w:szCs w:val="24"/>
          <w:bdr w:val="none" w:color="auto" w:sz="0" w:space="0"/>
        </w:rPr>
        <w:t>《快递暂行条例》</w:t>
      </w:r>
    </w:p>
    <w:p w14:paraId="5B93A165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1F2329"/>
          <w:sz w:val="24"/>
          <w:szCs w:val="24"/>
        </w:rPr>
      </w:pPr>
      <w:r>
        <w:rPr>
          <w:color w:val="1F2329"/>
          <w:sz w:val="24"/>
          <w:szCs w:val="24"/>
          <w:bdr w:val="none" w:color="auto" w:sz="0" w:space="0"/>
        </w:rPr>
        <w:t>《邮政业寄递安全监督管理办法》（交通运输部令 2023 年第 24 号修正）</w:t>
      </w:r>
      <w:r>
        <w:rPr>
          <w:color w:val="1F2329"/>
          <w:sz w:val="13"/>
          <w:szCs w:val="13"/>
          <w:bdr w:val="none" w:color="auto" w:sz="0" w:space="0"/>
        </w:rPr>
        <w:t>中国政府网</w:t>
      </w:r>
    </w:p>
    <w:p w14:paraId="32B096E6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1F2329"/>
          <w:sz w:val="24"/>
          <w:szCs w:val="24"/>
        </w:rPr>
      </w:pPr>
      <w:r>
        <w:rPr>
          <w:color w:val="1F2329"/>
          <w:sz w:val="24"/>
          <w:szCs w:val="24"/>
          <w:bdr w:val="none" w:color="auto" w:sz="0" w:space="0"/>
        </w:rPr>
        <w:t>GB 48004—2026《邮政业安全生产设备配置规范》（2027 年 2 月 1 日实施）</w:t>
      </w:r>
      <w:r>
        <w:rPr>
          <w:color w:val="1F2329"/>
          <w:sz w:val="13"/>
          <w:szCs w:val="13"/>
          <w:bdr w:val="none" w:color="auto" w:sz="0" w:space="0"/>
        </w:rPr>
        <w:t>广西壮族自治区邮政管理局</w:t>
      </w:r>
    </w:p>
    <w:p w14:paraId="434F8E2D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1F2329"/>
          <w:sz w:val="24"/>
          <w:szCs w:val="24"/>
        </w:rPr>
      </w:pPr>
      <w:r>
        <w:rPr>
          <w:color w:val="1F2329"/>
          <w:sz w:val="24"/>
          <w:szCs w:val="24"/>
          <w:bdr w:val="none" w:color="auto" w:sz="0" w:space="0"/>
        </w:rPr>
        <w:t>YZ/T 0170—2019《邮政业视频监控系统接入技术规范》</w:t>
      </w:r>
    </w:p>
    <w:p w14:paraId="71BB014A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1F2329"/>
          <w:sz w:val="24"/>
          <w:szCs w:val="24"/>
        </w:rPr>
      </w:pPr>
      <w:r>
        <w:rPr>
          <w:color w:val="1F2329"/>
          <w:sz w:val="24"/>
          <w:szCs w:val="24"/>
          <w:bdr w:val="none" w:color="auto" w:sz="0" w:space="0"/>
        </w:rPr>
        <w:t>《邮政企业、快递企业安全生产主体责任落实规范》（国家邮政局印发）</w:t>
      </w:r>
      <w:r>
        <w:rPr>
          <w:color w:val="1F2329"/>
          <w:sz w:val="13"/>
          <w:szCs w:val="13"/>
          <w:bdr w:val="none" w:color="auto" w:sz="0" w:space="0"/>
        </w:rPr>
        <w:t>中华人民共和国国家邮政局</w:t>
      </w:r>
    </w:p>
    <w:p w14:paraId="4015D5C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1F2329"/>
          <w:sz w:val="24"/>
          <w:szCs w:val="24"/>
        </w:rPr>
      </w:pPr>
      <w:r>
        <w:rPr>
          <w:color w:val="1F2329"/>
          <w:sz w:val="24"/>
          <w:szCs w:val="24"/>
          <w:bdr w:val="none" w:color="auto" w:sz="0" w:space="0"/>
        </w:rPr>
        <w:t>二、视频监控核心强制合规条款（邮政现场验收必查红线）</w:t>
      </w:r>
    </w:p>
    <w:p w14:paraId="3D4F26B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1F2329"/>
          <w:sz w:val="24"/>
          <w:szCs w:val="24"/>
        </w:rPr>
      </w:pPr>
      <w:r>
        <w:rPr>
          <w:color w:val="1F2329"/>
          <w:sz w:val="24"/>
          <w:szCs w:val="24"/>
          <w:bdr w:val="none" w:color="auto" w:sz="0" w:space="0"/>
        </w:rPr>
        <w:t>（一）全天候不间断监控运行要求</w:t>
      </w:r>
    </w:p>
    <w:p w14:paraId="6C5B5554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1F2329"/>
          <w:sz w:val="24"/>
          <w:szCs w:val="24"/>
        </w:rPr>
      </w:pPr>
      <w:r>
        <w:rPr>
          <w:color w:val="1F2329"/>
          <w:sz w:val="24"/>
          <w:szCs w:val="24"/>
          <w:bdr w:val="none" w:color="auto" w:sz="0" w:space="0"/>
        </w:rPr>
        <w:t>所有快递末端网点、快递驿站、快递营业门店必须执行</w:t>
      </w:r>
      <w:r>
        <w:rPr>
          <w:rStyle w:val="32"/>
          <w:color w:val="1F2329"/>
          <w:sz w:val="24"/>
          <w:szCs w:val="24"/>
          <w:bdr w:val="none" w:color="auto" w:sz="0" w:space="0"/>
        </w:rPr>
        <w:t>24 小时全天候不间断视频监控</w:t>
      </w:r>
      <w:r>
        <w:rPr>
          <w:color w:val="1F2329"/>
          <w:sz w:val="24"/>
          <w:szCs w:val="24"/>
          <w:bdr w:val="none" w:color="auto" w:sz="0" w:space="0"/>
        </w:rPr>
        <w:t>，不允许定时关机、夜间断电停机。</w:t>
      </w:r>
    </w:p>
    <w:p w14:paraId="4C9A0621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1F2329"/>
          <w:sz w:val="24"/>
          <w:szCs w:val="24"/>
        </w:rPr>
      </w:pPr>
      <w:r>
        <w:rPr>
          <w:color w:val="1F2329"/>
          <w:sz w:val="24"/>
          <w:szCs w:val="24"/>
          <w:bdr w:val="none" w:color="auto" w:sz="0" w:space="0"/>
        </w:rPr>
        <w:t>包含 24 小时自助取件时段，监控设备全程在线录制，无间断断录。</w:t>
      </w:r>
    </w:p>
    <w:p w14:paraId="61609955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1F2329"/>
          <w:sz w:val="24"/>
          <w:szCs w:val="24"/>
        </w:rPr>
      </w:pPr>
      <w:r>
        <w:rPr>
          <w:color w:val="1F2329"/>
          <w:sz w:val="24"/>
          <w:szCs w:val="24"/>
          <w:bdr w:val="none" w:color="auto" w:sz="0" w:space="0"/>
        </w:rPr>
        <w:t>摄像头离线、硬盘故障、录像机宕机等监控故障，企业必须在 24 小时内完成维修恢复，禁止长期无监控经营。</w:t>
      </w:r>
    </w:p>
    <w:p w14:paraId="0CF0E7F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1F2329"/>
          <w:sz w:val="24"/>
          <w:szCs w:val="24"/>
        </w:rPr>
      </w:pPr>
      <w:r>
        <w:rPr>
          <w:color w:val="1F2329"/>
          <w:sz w:val="24"/>
          <w:szCs w:val="24"/>
          <w:bdr w:val="none" w:color="auto" w:sz="0" w:space="0"/>
        </w:rPr>
        <w:t>（二）监控点位全覆盖强制区域（无遮挡、无盲区硬性要求）</w:t>
      </w:r>
    </w:p>
    <w:p w14:paraId="1455DCB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1F2329"/>
          <w:sz w:val="24"/>
          <w:szCs w:val="24"/>
        </w:rPr>
      </w:pPr>
      <w:r>
        <w:rPr>
          <w:rFonts w:ascii="宋体" w:hAnsi="宋体" w:eastAsia="宋体" w:cs="宋体"/>
          <w:snapToGrid/>
          <w:color w:val="1F2329"/>
          <w:kern w:val="0"/>
          <w:sz w:val="24"/>
          <w:szCs w:val="24"/>
          <w:bdr w:val="none" w:color="auto" w:sz="0" w:space="0"/>
          <w:lang w:val="en-US" w:eastAsia="zh-CN" w:bidi="ar"/>
        </w:rPr>
        <w:t>快递驿站四大核心作业区域监控必须完整覆盖，镜头不得被货架、门框、绿植、隔断遮挡：</w:t>
      </w:r>
    </w:p>
    <w:p w14:paraId="53025E64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1F2329"/>
          <w:sz w:val="24"/>
          <w:szCs w:val="24"/>
        </w:rPr>
      </w:pPr>
      <w:r>
        <w:rPr>
          <w:color w:val="1F2329"/>
          <w:sz w:val="24"/>
          <w:szCs w:val="24"/>
          <w:bdr w:val="none" w:color="auto" w:sz="0" w:space="0"/>
        </w:rPr>
        <w:t>寄件验视操作台：完整记录开箱验视、实名信息登记、包裹打包全过程；</w:t>
      </w:r>
    </w:p>
    <w:p w14:paraId="7E862A0E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1F2329"/>
          <w:sz w:val="24"/>
          <w:szCs w:val="24"/>
        </w:rPr>
      </w:pPr>
      <w:r>
        <w:rPr>
          <w:color w:val="1F2329"/>
          <w:sz w:val="24"/>
          <w:szCs w:val="24"/>
          <w:bdr w:val="none" w:color="auto" w:sz="0" w:space="0"/>
        </w:rPr>
        <w:t>快件分拣、入库、堆放区：记录快件入库、分类、流转、出库全流程；</w:t>
      </w:r>
    </w:p>
    <w:p w14:paraId="1F82C16C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1F2329"/>
          <w:sz w:val="24"/>
          <w:szCs w:val="24"/>
        </w:rPr>
      </w:pPr>
      <w:r>
        <w:rPr>
          <w:color w:val="1F2329"/>
          <w:sz w:val="24"/>
          <w:szCs w:val="24"/>
          <w:bdr w:val="none" w:color="auto" w:sz="0" w:space="0"/>
        </w:rPr>
        <w:t>客户取件窗口、自助快递柜区域：居民扫码取件、快件交接全程留痕；</w:t>
      </w:r>
    </w:p>
    <w:p w14:paraId="3D3064F5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1F2329"/>
          <w:sz w:val="24"/>
          <w:szCs w:val="24"/>
        </w:rPr>
      </w:pPr>
      <w:r>
        <w:rPr>
          <w:color w:val="1F2329"/>
          <w:sz w:val="24"/>
          <w:szCs w:val="24"/>
          <w:bdr w:val="none" w:color="auto" w:sz="0" w:space="0"/>
        </w:rPr>
        <w:t>门店临街大门、户外卸货区域：货车批量卸货、人员进出、快件搬运全覆盖。 补充条款：只安装室内摄像头、省略门店户外出入口点位，直接判定不合规。</w:t>
      </w:r>
    </w:p>
    <w:p w14:paraId="23A406C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1F2329"/>
          <w:sz w:val="24"/>
          <w:szCs w:val="24"/>
        </w:rPr>
      </w:pPr>
      <w:r>
        <w:rPr>
          <w:color w:val="1F2329"/>
          <w:sz w:val="24"/>
          <w:szCs w:val="24"/>
          <w:bdr w:val="none" w:color="auto" w:sz="0" w:space="0"/>
        </w:rPr>
        <w:t>（三）录像存储时长法定强制标准（监管核查核心）</w:t>
      </w:r>
    </w:p>
    <w:p w14:paraId="1349C925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1F2329"/>
          <w:sz w:val="24"/>
          <w:szCs w:val="24"/>
        </w:rPr>
      </w:pPr>
      <w:r>
        <w:rPr>
          <w:color w:val="1F2329"/>
          <w:sz w:val="24"/>
          <w:szCs w:val="24"/>
          <w:bdr w:val="none" w:color="auto" w:sz="0" w:space="0"/>
        </w:rPr>
        <w:t>门店过道、非作业闲置区域监控录像保存时长≥30 天；</w:t>
      </w:r>
    </w:p>
    <w:p w14:paraId="5525B586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1F2329"/>
          <w:sz w:val="24"/>
          <w:szCs w:val="24"/>
        </w:rPr>
      </w:pPr>
      <w:r>
        <w:rPr>
          <w:rStyle w:val="32"/>
          <w:color w:val="1F2329"/>
          <w:sz w:val="24"/>
          <w:szCs w:val="24"/>
          <w:bdr w:val="none" w:color="auto" w:sz="0" w:space="0"/>
        </w:rPr>
        <w:t>寄件验视、分拣、取件窗口、自助快递柜、门店出入口所有作业区域录像留存时长≥90 天</w:t>
      </w:r>
      <w:r>
        <w:rPr>
          <w:color w:val="1F2329"/>
          <w:sz w:val="24"/>
          <w:szCs w:val="24"/>
          <w:bdr w:val="none" w:color="auto" w:sz="0" w:space="0"/>
        </w:rPr>
        <w:t>（行业监管红线，所有快递末端网点强制执行）</w:t>
      </w:r>
      <w:r>
        <w:rPr>
          <w:color w:val="1F2329"/>
          <w:sz w:val="13"/>
          <w:szCs w:val="13"/>
          <w:bdr w:val="none" w:color="auto" w:sz="0" w:space="0"/>
        </w:rPr>
        <w:t>中国政府网</w:t>
      </w:r>
      <w:r>
        <w:rPr>
          <w:color w:val="1F2329"/>
          <w:sz w:val="24"/>
          <w:szCs w:val="24"/>
          <w:bdr w:val="none" w:color="auto" w:sz="0" w:space="0"/>
        </w:rPr>
        <w:t>；</w:t>
      </w:r>
    </w:p>
    <w:p w14:paraId="7F53A37F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1F2329"/>
          <w:sz w:val="24"/>
          <w:szCs w:val="24"/>
        </w:rPr>
      </w:pPr>
      <w:r>
        <w:rPr>
          <w:color w:val="1F2329"/>
          <w:sz w:val="24"/>
          <w:szCs w:val="24"/>
          <w:bdr w:val="none" w:color="auto" w:sz="0" w:space="0"/>
        </w:rPr>
        <w:t>存储介质必须使用</w:t>
      </w:r>
      <w:r>
        <w:rPr>
          <w:rStyle w:val="32"/>
          <w:color w:val="1F2329"/>
          <w:sz w:val="24"/>
          <w:szCs w:val="24"/>
          <w:bdr w:val="none" w:color="auto" w:sz="0" w:space="0"/>
        </w:rPr>
        <w:t>监控级专用硬盘</w:t>
      </w:r>
      <w:r>
        <w:rPr>
          <w:color w:val="1F2329"/>
          <w:sz w:val="24"/>
          <w:szCs w:val="24"/>
          <w:bdr w:val="none" w:color="auto" w:sz="0" w:space="0"/>
        </w:rPr>
        <w:t>，严禁普通电脑硬盘替代；硬盘总容量需匹配摄像头像素、编码格式，足额支撑 90 天循环录像；</w:t>
      </w:r>
    </w:p>
    <w:p w14:paraId="18E87EDB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1F2329"/>
          <w:sz w:val="24"/>
          <w:szCs w:val="24"/>
        </w:rPr>
      </w:pPr>
      <w:r>
        <w:rPr>
          <w:color w:val="1F2329"/>
          <w:sz w:val="24"/>
          <w:szCs w:val="24"/>
          <w:bdr w:val="none" w:color="auto" w:sz="0" w:space="0"/>
        </w:rPr>
        <w:t>录像机统一开启循环覆盖录像机制，关闭员工手动一键删除录像权限，邮政监管部门可随时调取、拷贝历史录像备查。</w:t>
      </w:r>
    </w:p>
    <w:p w14:paraId="02EE47F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1F2329"/>
          <w:sz w:val="24"/>
          <w:szCs w:val="24"/>
        </w:rPr>
      </w:pPr>
      <w:r>
        <w:rPr>
          <w:color w:val="1F2329"/>
          <w:sz w:val="24"/>
          <w:szCs w:val="24"/>
          <w:bdr w:val="none" w:color="auto" w:sz="0" w:space="0"/>
        </w:rPr>
        <w:t>（四）音视频同步取证规范</w:t>
      </w:r>
    </w:p>
    <w:p w14:paraId="7F1E4567"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1F2329"/>
          <w:sz w:val="24"/>
          <w:szCs w:val="24"/>
        </w:rPr>
      </w:pPr>
      <w:r>
        <w:rPr>
          <w:color w:val="1F2329"/>
          <w:sz w:val="24"/>
          <w:szCs w:val="24"/>
          <w:bdr w:val="none" w:color="auto" w:sz="0" w:space="0"/>
        </w:rPr>
        <w:t>寄件、分拣、取件等室内作业机位，摄像机必须配备内置拾音功能，实现</w:t>
      </w:r>
      <w:r>
        <w:rPr>
          <w:rStyle w:val="32"/>
          <w:color w:val="1F2329"/>
          <w:sz w:val="24"/>
          <w:szCs w:val="24"/>
          <w:bdr w:val="none" w:color="auto" w:sz="0" w:space="0"/>
        </w:rPr>
        <w:t>画面 + 声音同步录制留存</w:t>
      </w:r>
      <w:r>
        <w:rPr>
          <w:color w:val="1F2329"/>
          <w:sz w:val="24"/>
          <w:szCs w:val="24"/>
          <w:bdr w:val="none" w:color="auto" w:sz="0" w:space="0"/>
        </w:rPr>
        <w:t>；</w:t>
      </w:r>
    </w:p>
    <w:p w14:paraId="68E45FDB"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1F2329"/>
          <w:sz w:val="24"/>
          <w:szCs w:val="24"/>
        </w:rPr>
      </w:pPr>
      <w:r>
        <w:rPr>
          <w:color w:val="1F2329"/>
          <w:sz w:val="24"/>
          <w:szCs w:val="24"/>
          <w:bdr w:val="none" w:color="auto" w:sz="0" w:space="0"/>
        </w:rPr>
        <w:t>快件丢失、错拿、货损理赔、客户投诉、违禁品寄递纠纷，仅单一画面无音频的录像证据效力不足，无法作为理赔、监管核查有效凭证。</w:t>
      </w:r>
    </w:p>
    <w:p w14:paraId="6EA7EA0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1F2329"/>
          <w:sz w:val="24"/>
          <w:szCs w:val="24"/>
        </w:rPr>
      </w:pPr>
      <w:r>
        <w:rPr>
          <w:color w:val="1F2329"/>
          <w:sz w:val="24"/>
          <w:szCs w:val="24"/>
          <w:bdr w:val="none" w:color="auto" w:sz="0" w:space="0"/>
        </w:rPr>
        <w:t>（五）监控设备联网、监管协议接入标准</w:t>
      </w:r>
    </w:p>
    <w:p w14:paraId="0A95AF10"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1F2329"/>
          <w:sz w:val="24"/>
          <w:szCs w:val="24"/>
        </w:rPr>
      </w:pPr>
      <w:r>
        <w:rPr>
          <w:color w:val="1F2329"/>
          <w:sz w:val="24"/>
          <w:szCs w:val="24"/>
          <w:bdr w:val="none" w:color="auto" w:sz="0" w:space="0"/>
        </w:rPr>
        <w:t>网络硬盘录像机（NVR）必须原生支持两大邮政监管协议：</w:t>
      </w:r>
      <w:r>
        <w:rPr>
          <w:rStyle w:val="32"/>
          <w:color w:val="1F2329"/>
          <w:sz w:val="24"/>
          <w:szCs w:val="24"/>
          <w:bdr w:val="none" w:color="auto" w:sz="0" w:space="0"/>
        </w:rPr>
        <w:t>GB28181 国标协议、E-HOME5.0 邮政监管专用协议</w:t>
      </w:r>
      <w:r>
        <w:rPr>
          <w:color w:val="1F2329"/>
          <w:sz w:val="24"/>
          <w:szCs w:val="24"/>
          <w:bdr w:val="none" w:color="auto" w:sz="0" w:space="0"/>
        </w:rPr>
        <w:t>；</w:t>
      </w:r>
    </w:p>
    <w:p w14:paraId="52EA86E3"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1F2329"/>
          <w:sz w:val="24"/>
          <w:szCs w:val="24"/>
        </w:rPr>
      </w:pPr>
      <w:r>
        <w:rPr>
          <w:color w:val="1F2329"/>
          <w:sz w:val="24"/>
          <w:szCs w:val="24"/>
          <w:bdr w:val="none" w:color="auto" w:sz="0" w:space="0"/>
        </w:rPr>
        <w:t>网点监控系统可稳定联网对接属地邮政管理局寄递安全监管平台，监管端支持远程预览、回放、下载监控录像；</w:t>
      </w:r>
    </w:p>
    <w:p w14:paraId="5A4D27F5"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1F2329"/>
          <w:sz w:val="24"/>
          <w:szCs w:val="24"/>
        </w:rPr>
      </w:pPr>
      <w:r>
        <w:rPr>
          <w:color w:val="1F2329"/>
          <w:sz w:val="24"/>
          <w:szCs w:val="24"/>
          <w:bdr w:val="none" w:color="auto" w:sz="0" w:space="0"/>
        </w:rPr>
        <w:t>录像机设备运行日志、联网登录记录、硬盘读写日志留存不少于 6 个月，满足网络安全等保核查要求</w:t>
      </w:r>
      <w:r>
        <w:rPr>
          <w:color w:val="1F2329"/>
          <w:sz w:val="13"/>
          <w:szCs w:val="13"/>
          <w:bdr w:val="none" w:color="auto" w:sz="0" w:space="0"/>
        </w:rPr>
        <w:t>中国政府网</w:t>
      </w:r>
      <w:r>
        <w:rPr>
          <w:color w:val="1F2329"/>
          <w:sz w:val="24"/>
          <w:szCs w:val="24"/>
          <w:bdr w:val="none" w:color="auto" w:sz="0" w:space="0"/>
        </w:rPr>
        <w:t>。</w:t>
      </w:r>
    </w:p>
    <w:p w14:paraId="4FF65B3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1F2329"/>
          <w:sz w:val="24"/>
          <w:szCs w:val="24"/>
        </w:rPr>
      </w:pPr>
      <w:r>
        <w:rPr>
          <w:color w:val="1F2329"/>
          <w:sz w:val="24"/>
          <w:szCs w:val="24"/>
          <w:bdr w:val="none" w:color="auto" w:sz="0" w:space="0"/>
        </w:rPr>
        <w:t>（六）摄像机硬件与环境适配标准</w:t>
      </w:r>
    </w:p>
    <w:p w14:paraId="33877400">
      <w:pPr>
        <w:keepNext w:val="0"/>
        <w:keepLines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1F2329"/>
          <w:sz w:val="24"/>
          <w:szCs w:val="24"/>
        </w:rPr>
      </w:pPr>
      <w:r>
        <w:rPr>
          <w:color w:val="1F2329"/>
          <w:sz w:val="24"/>
          <w:szCs w:val="24"/>
          <w:bdr w:val="none" w:color="auto" w:sz="0" w:space="0"/>
        </w:rPr>
        <w:t>室内半球摄像机：最低 400 万高清像素，双光全彩夜视，无灯光夜间依旧彩色成像；支持 POE 网线供电，吸顶安装不遮挡作业动线；</w:t>
      </w:r>
    </w:p>
    <w:p w14:paraId="30C4F206">
      <w:pPr>
        <w:keepNext w:val="0"/>
        <w:keepLines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1F2329"/>
          <w:sz w:val="24"/>
          <w:szCs w:val="24"/>
        </w:rPr>
      </w:pPr>
      <w:r>
        <w:rPr>
          <w:color w:val="1F2329"/>
          <w:sz w:val="24"/>
          <w:szCs w:val="24"/>
          <w:bdr w:val="none" w:color="auto" w:sz="0" w:space="0"/>
        </w:rPr>
        <w:t>门店户外枪机：IP66 及以上防尘、防水、防雷防护等级，30 米红外夜视，自带强光抑制功能，抵消车灯、路灯反光；临街门店户外设备必须配套防雷配件；</w:t>
      </w:r>
    </w:p>
    <w:p w14:paraId="5CD7A783">
      <w:pPr>
        <w:keepNext w:val="0"/>
        <w:keepLines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1F2329"/>
          <w:sz w:val="24"/>
          <w:szCs w:val="24"/>
        </w:rPr>
      </w:pPr>
      <w:r>
        <w:rPr>
          <w:color w:val="1F2329"/>
          <w:sz w:val="24"/>
          <w:szCs w:val="24"/>
          <w:bdr w:val="none" w:color="auto" w:sz="0" w:space="0"/>
        </w:rPr>
        <w:t>布线传输规范：采用国标超五类及以上无氧铜网线，户外线路加装防水套管；店内线路采用 PVC 线槽隐蔽敷设，禁止明线裸露、线路老化杂乱。</w:t>
      </w:r>
    </w:p>
    <w:p w14:paraId="7F8995B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1F2329"/>
          <w:sz w:val="24"/>
          <w:szCs w:val="24"/>
        </w:rPr>
      </w:pPr>
      <w:r>
        <w:rPr>
          <w:color w:val="1F2329"/>
          <w:sz w:val="24"/>
          <w:szCs w:val="24"/>
          <w:bdr w:val="none" w:color="auto" w:sz="0" w:space="0"/>
        </w:rPr>
        <w:t>三、POE 交换机与内网配套合规要求</w:t>
      </w:r>
    </w:p>
    <w:p w14:paraId="68D57E7F">
      <w:pPr>
        <w:keepNext w:val="0"/>
        <w:keepLines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1F2329"/>
          <w:sz w:val="24"/>
          <w:szCs w:val="24"/>
        </w:rPr>
      </w:pPr>
      <w:r>
        <w:rPr>
          <w:color w:val="1F2329"/>
          <w:sz w:val="24"/>
          <w:szCs w:val="24"/>
          <w:bdr w:val="none" w:color="auto" w:sz="0" w:space="0"/>
        </w:rPr>
        <w:t>优先选用安防专用千兆 POE 交换机，单根网线同时传输视频信号 + 设备供电，减少门店杂乱电源适配器；</w:t>
      </w:r>
    </w:p>
    <w:p w14:paraId="352B601A">
      <w:pPr>
        <w:keepNext w:val="0"/>
        <w:keepLines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1F2329"/>
          <w:sz w:val="24"/>
          <w:szCs w:val="24"/>
        </w:rPr>
      </w:pPr>
      <w:r>
        <w:rPr>
          <w:color w:val="1F2329"/>
          <w:sz w:val="24"/>
          <w:szCs w:val="24"/>
          <w:bdr w:val="none" w:color="auto" w:sz="0" w:space="0"/>
        </w:rPr>
        <w:t>交换机内置 4KV 防雷芯片、端口掉线自动重启功能，适配驿站夜间无人值守场景，防止摄像头离线断录；</w:t>
      </w:r>
    </w:p>
    <w:p w14:paraId="0D6D158D">
      <w:pPr>
        <w:keepNext w:val="0"/>
        <w:keepLines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1F2329"/>
          <w:sz w:val="24"/>
          <w:szCs w:val="24"/>
        </w:rPr>
      </w:pPr>
      <w:r>
        <w:rPr>
          <w:color w:val="1F2329"/>
          <w:sz w:val="24"/>
          <w:szCs w:val="24"/>
          <w:bdr w:val="none" w:color="auto" w:sz="0" w:space="0"/>
        </w:rPr>
        <w:t>监控内网与门店收银、办公宽带逻辑隔离，不共用带宽资源，保障多路监控画面稳定无卡顿。</w:t>
      </w:r>
    </w:p>
    <w:p w14:paraId="7BA7DDD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1F2329"/>
          <w:sz w:val="24"/>
          <w:szCs w:val="24"/>
        </w:rPr>
      </w:pPr>
      <w:r>
        <w:rPr>
          <w:color w:val="1F2329"/>
          <w:sz w:val="24"/>
          <w:szCs w:val="24"/>
          <w:bdr w:val="none" w:color="auto" w:sz="0" w:space="0"/>
        </w:rPr>
        <w:t>四、设备台账、日常巡检管理合规要求</w:t>
      </w:r>
    </w:p>
    <w:p w14:paraId="47F84786">
      <w:pPr>
        <w:keepNext w:val="0"/>
        <w:keepLines w:val="0"/>
        <w:widowControl/>
        <w:numPr>
          <w:ilvl w:val="0"/>
          <w:numId w:val="1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1F2329"/>
          <w:sz w:val="24"/>
          <w:szCs w:val="24"/>
        </w:rPr>
      </w:pPr>
      <w:r>
        <w:rPr>
          <w:color w:val="1F2329"/>
          <w:sz w:val="24"/>
          <w:szCs w:val="24"/>
          <w:bdr w:val="none" w:color="auto" w:sz="0" w:space="0"/>
        </w:rPr>
        <w:t>建立完整安防设备台账：登记录像机、摄像头、POE 交换机、监控硬盘完整型号、安装日期、维保记录，纸质 / 电子台账留存备查；</w:t>
      </w:r>
    </w:p>
    <w:p w14:paraId="249723C9">
      <w:pPr>
        <w:keepNext w:val="0"/>
        <w:keepLines w:val="0"/>
        <w:widowControl/>
        <w:numPr>
          <w:ilvl w:val="0"/>
          <w:numId w:val="1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1F2329"/>
          <w:sz w:val="24"/>
          <w:szCs w:val="24"/>
        </w:rPr>
      </w:pPr>
      <w:r>
        <w:rPr>
          <w:color w:val="1F2329"/>
          <w:sz w:val="24"/>
          <w:szCs w:val="24"/>
          <w:bdr w:val="none" w:color="auto" w:sz="0" w:space="0"/>
        </w:rPr>
        <w:t>日常巡检制度：每周检查摄像头画面、硬盘健康状态、监管平台联网状态；每月开展整机 24 小时不间断压力测试；</w:t>
      </w:r>
    </w:p>
    <w:p w14:paraId="5231F4E3">
      <w:pPr>
        <w:keepNext w:val="0"/>
        <w:keepLines w:val="0"/>
        <w:widowControl/>
        <w:numPr>
          <w:ilvl w:val="0"/>
          <w:numId w:val="1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1F2329"/>
          <w:sz w:val="24"/>
          <w:szCs w:val="24"/>
        </w:rPr>
      </w:pPr>
      <w:r>
        <w:rPr>
          <w:color w:val="1F2329"/>
          <w:sz w:val="24"/>
          <w:szCs w:val="24"/>
          <w:bdr w:val="none" w:color="auto" w:sz="0" w:space="0"/>
        </w:rPr>
        <w:t>门店配备监控显示器，长期开机实时查看四路实时画面，方便店主自查与邮政现场抽查；</w:t>
      </w:r>
    </w:p>
    <w:p w14:paraId="660C8619">
      <w:pPr>
        <w:keepNext w:val="0"/>
        <w:keepLines w:val="0"/>
        <w:widowControl/>
        <w:numPr>
          <w:ilvl w:val="0"/>
          <w:numId w:val="1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1F2329"/>
          <w:sz w:val="24"/>
          <w:szCs w:val="24"/>
        </w:rPr>
      </w:pPr>
      <w:r>
        <w:rPr>
          <w:color w:val="1F2329"/>
          <w:sz w:val="24"/>
          <w:szCs w:val="24"/>
          <w:bdr w:val="none" w:color="auto" w:sz="0" w:space="0"/>
        </w:rPr>
        <w:t>硬件预留扩容空间：录像机统一选用双盘位、多路数机型，后期快件量上涨、新增分拣仓储区域可直接扩容摄像头、硬盘。</w:t>
      </w:r>
    </w:p>
    <w:p w14:paraId="519825F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1F2329"/>
          <w:sz w:val="24"/>
          <w:szCs w:val="24"/>
        </w:rPr>
      </w:pPr>
      <w:r>
        <w:rPr>
          <w:color w:val="1F2329"/>
          <w:sz w:val="24"/>
          <w:szCs w:val="24"/>
          <w:bdr w:val="none" w:color="auto" w:sz="0" w:space="0"/>
        </w:rPr>
        <w:t>五、门店消防、物防配套同步合规核查项（邮政联合检查）</w:t>
      </w:r>
    </w:p>
    <w:p w14:paraId="34F5DBEB">
      <w:pPr>
        <w:keepNext w:val="0"/>
        <w:keepLines w:val="0"/>
        <w:widowControl/>
        <w:numPr>
          <w:ilvl w:val="0"/>
          <w:numId w:val="1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1F2329"/>
          <w:sz w:val="24"/>
          <w:szCs w:val="24"/>
        </w:rPr>
      </w:pPr>
      <w:r>
        <w:rPr>
          <w:color w:val="1F2329"/>
          <w:sz w:val="24"/>
          <w:szCs w:val="24"/>
          <w:bdr w:val="none" w:color="auto" w:sz="0" w:space="0"/>
        </w:rPr>
        <w:t>店内分拣区、出入口摆放合格干粉灭火器，按期年检，取用通道无快件遮挡；</w:t>
      </w:r>
    </w:p>
    <w:p w14:paraId="26BFDE19">
      <w:pPr>
        <w:keepNext w:val="0"/>
        <w:keepLines w:val="0"/>
        <w:widowControl/>
        <w:numPr>
          <w:ilvl w:val="0"/>
          <w:numId w:val="1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1F2329"/>
          <w:sz w:val="24"/>
          <w:szCs w:val="24"/>
        </w:rPr>
      </w:pPr>
      <w:r>
        <w:rPr>
          <w:color w:val="1F2329"/>
          <w:sz w:val="24"/>
          <w:szCs w:val="24"/>
          <w:bdr w:val="none" w:color="auto" w:sz="0" w:space="0"/>
        </w:rPr>
        <w:t>快件堆放远离电源插座、电线，严禁堵塞安全出口、消防通道；</w:t>
      </w:r>
    </w:p>
    <w:p w14:paraId="68A205A7">
      <w:pPr>
        <w:keepNext w:val="0"/>
        <w:keepLines w:val="0"/>
        <w:widowControl/>
        <w:numPr>
          <w:ilvl w:val="0"/>
          <w:numId w:val="1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1F2329"/>
          <w:sz w:val="24"/>
          <w:szCs w:val="24"/>
        </w:rPr>
      </w:pPr>
      <w:r>
        <w:rPr>
          <w:color w:val="1F2329"/>
          <w:sz w:val="24"/>
          <w:szCs w:val="24"/>
          <w:bdr w:val="none" w:color="auto" w:sz="0" w:space="0"/>
        </w:rPr>
        <w:t>门店门窗具备基础防盗防护，大件快件存放区域设置隔离，无关外来人员无法随意进入。</w:t>
      </w:r>
    </w:p>
    <w:p w14:paraId="19E1EDD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1F2329"/>
          <w:sz w:val="24"/>
          <w:szCs w:val="24"/>
        </w:rPr>
      </w:pPr>
      <w:r>
        <w:rPr>
          <w:color w:val="1F2329"/>
          <w:sz w:val="24"/>
          <w:szCs w:val="24"/>
          <w:bdr w:val="none" w:color="auto" w:sz="0" w:space="0"/>
        </w:rPr>
        <w:t>六、违规处罚条款（《邮政业寄递安全监督管理办法》法定处罚）</w:t>
      </w:r>
      <w:r>
        <w:rPr>
          <w:color w:val="1F2329"/>
          <w:sz w:val="13"/>
          <w:szCs w:val="13"/>
          <w:bdr w:val="none" w:color="auto" w:sz="0" w:space="0"/>
        </w:rPr>
        <w:t>交通运输部</w:t>
      </w:r>
    </w:p>
    <w:p w14:paraId="4A012E0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1F2329"/>
          <w:sz w:val="24"/>
          <w:szCs w:val="24"/>
        </w:rPr>
      </w:pPr>
      <w:r>
        <w:rPr>
          <w:rFonts w:ascii="宋体" w:hAnsi="宋体" w:eastAsia="宋体" w:cs="宋体"/>
          <w:snapToGrid/>
          <w:color w:val="1F2329"/>
          <w:kern w:val="0"/>
          <w:sz w:val="24"/>
          <w:szCs w:val="24"/>
          <w:bdr w:val="none" w:color="auto" w:sz="0" w:space="0"/>
          <w:lang w:val="en-US" w:eastAsia="zh-CN" w:bidi="ar"/>
        </w:rPr>
        <w:t>第三十九条：企业未按要求对网点作业区域全天候监控、监控存在盲区、录像存储时长未达到 90 天标准，邮政管理部门责令</w:t>
      </w:r>
      <w:r>
        <w:rPr>
          <w:rStyle w:val="32"/>
          <w:rFonts w:ascii="宋体" w:hAnsi="宋体" w:eastAsia="宋体" w:cs="宋体"/>
          <w:snapToGrid/>
          <w:color w:val="1F2329"/>
          <w:kern w:val="0"/>
          <w:sz w:val="24"/>
          <w:szCs w:val="24"/>
          <w:bdr w:val="none" w:color="auto" w:sz="0" w:space="0"/>
          <w:lang w:val="en-US" w:eastAsia="zh-CN" w:bidi="ar"/>
        </w:rPr>
        <w:t>限期整改</w:t>
      </w:r>
      <w:r>
        <w:rPr>
          <w:rFonts w:ascii="宋体" w:hAnsi="宋体" w:eastAsia="宋体" w:cs="宋体"/>
          <w:snapToGrid/>
          <w:color w:val="1F2329"/>
          <w:kern w:val="0"/>
          <w:sz w:val="24"/>
          <w:szCs w:val="24"/>
          <w:bdr w:val="none" w:color="auto" w:sz="0" w:space="0"/>
          <w:lang w:val="en-US" w:eastAsia="zh-CN" w:bidi="ar"/>
        </w:rPr>
        <w:t>； 逾期拒不完成整改，处</w:t>
      </w:r>
      <w:r>
        <w:rPr>
          <w:rStyle w:val="32"/>
          <w:rFonts w:ascii="宋体" w:hAnsi="宋体" w:eastAsia="宋体" w:cs="宋体"/>
          <w:snapToGrid/>
          <w:color w:val="1F2329"/>
          <w:kern w:val="0"/>
          <w:sz w:val="24"/>
          <w:szCs w:val="24"/>
          <w:bdr w:val="none" w:color="auto" w:sz="0" w:space="0"/>
          <w:lang w:val="en-US" w:eastAsia="zh-CN" w:bidi="ar"/>
        </w:rPr>
        <w:t>1 万元以下罚款</w:t>
      </w:r>
      <w:r>
        <w:rPr>
          <w:rFonts w:ascii="宋体" w:hAnsi="宋体" w:eastAsia="宋体" w:cs="宋体"/>
          <w:snapToGrid/>
          <w:color w:val="1F2329"/>
          <w:kern w:val="0"/>
          <w:sz w:val="24"/>
          <w:szCs w:val="24"/>
          <w:bdr w:val="none" w:color="auto" w:sz="0" w:space="0"/>
          <w:lang w:val="en-US" w:eastAsia="zh-CN" w:bidi="ar"/>
        </w:rPr>
        <w:t>；多次整改不到位，可暂停网点寄递经营备案资质、吊销末端网点经营许可。 第四十条：未按监管要求上传监控录像、刻意遮挡摄像头、人为删除监控录像，责令限期整改，逾期不改处 3000 元以下罚款。</w:t>
      </w:r>
    </w:p>
    <w:p w14:paraId="7CFC7AD4"/>
    <w:sectPr>
      <w:pgSz w:w="11906" w:h="16838"/>
      <w:pgMar w:top="567" w:right="877" w:bottom="1083" w:left="1440" w:header="340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+西文标题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+中文标题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88" w:lineRule="auto"/>
      </w:pPr>
      <w:r>
        <w:separator/>
      </w:r>
    </w:p>
  </w:footnote>
  <w:footnote w:type="continuationSeparator" w:id="1">
    <w:p>
      <w:pPr>
        <w:spacing w:before="0" w:after="0" w:line="28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5B0DB72"/>
    <w:multiLevelType w:val="multilevel"/>
    <w:tmpl w:val="85B0DB72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">
    <w:nsid w:val="90F647A5"/>
    <w:multiLevelType w:val="multilevel"/>
    <w:tmpl w:val="90F647A5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2">
    <w:nsid w:val="AF75A297"/>
    <w:multiLevelType w:val="multilevel"/>
    <w:tmpl w:val="AF75A297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3">
    <w:nsid w:val="C616B780"/>
    <w:multiLevelType w:val="multilevel"/>
    <w:tmpl w:val="C616B78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4">
    <w:nsid w:val="EC359D30"/>
    <w:multiLevelType w:val="multilevel"/>
    <w:tmpl w:val="EC359D3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5">
    <w:nsid w:val="F9DAC788"/>
    <w:multiLevelType w:val="multilevel"/>
    <w:tmpl w:val="F9DAC788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6">
    <w:nsid w:val="07BC1179"/>
    <w:multiLevelType w:val="multilevel"/>
    <w:tmpl w:val="07BC1179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7">
    <w:nsid w:val="2AE57951"/>
    <w:multiLevelType w:val="multilevel"/>
    <w:tmpl w:val="2AE57951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8">
    <w:nsid w:val="365E1906"/>
    <w:multiLevelType w:val="multilevel"/>
    <w:tmpl w:val="365E1906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9">
    <w:nsid w:val="3E270DCF"/>
    <w:multiLevelType w:val="multilevel"/>
    <w:tmpl w:val="3E270DCF"/>
    <w:lvl w:ilvl="0" w:tentative="0">
      <w:start w:val="1"/>
      <w:numFmt w:val="decimal"/>
      <w:pStyle w:val="2"/>
      <w:suff w:val="space"/>
      <w:lvlText w:val="%1."/>
      <w:lvlJc w:val="left"/>
      <w:pPr>
        <w:ind w:left="0" w:leftChars="0" w:firstLine="0" w:firstLineChars="0"/>
      </w:pPr>
      <w:rPr>
        <w:rFonts w:hint="default" w:ascii="微软雅黑" w:hAnsi="微软雅黑" w:eastAsia="微软雅黑"/>
      </w:rPr>
    </w:lvl>
    <w:lvl w:ilvl="1" w:tentative="0">
      <w:start w:val="1"/>
      <w:numFmt w:val="decimal"/>
      <w:pStyle w:val="3"/>
      <w:suff w:val="space"/>
      <w:lvlText w:val="%1.%2."/>
      <w:lvlJc w:val="left"/>
      <w:pPr>
        <w:ind w:left="0" w:leftChars="0" w:firstLine="0" w:firstLineChars="0"/>
      </w:pPr>
      <w:rPr>
        <w:rFonts w:hint="default" w:ascii="微软雅黑" w:hAnsi="微软雅黑" w:eastAsia="微软雅黑"/>
      </w:rPr>
    </w:lvl>
    <w:lvl w:ilvl="2" w:tentative="0">
      <w:start w:val="1"/>
      <w:numFmt w:val="decimal"/>
      <w:pStyle w:val="4"/>
      <w:suff w:val="space"/>
      <w:lvlText w:val="%1.%2.%3."/>
      <w:lvlJc w:val="left"/>
      <w:pPr>
        <w:ind w:left="0" w:leftChars="0" w:firstLine="0" w:firstLineChars="0"/>
      </w:pPr>
      <w:rPr>
        <w:rFonts w:hint="default" w:ascii="微软雅黑" w:hAnsi="微软雅黑" w:eastAsia="微软雅黑"/>
      </w:rPr>
    </w:lvl>
    <w:lvl w:ilvl="3" w:tentative="0">
      <w:start w:val="1"/>
      <w:numFmt w:val="decimal"/>
      <w:pStyle w:val="5"/>
      <w:suff w:val="space"/>
      <w:lvlText w:val="%1.%2.%3.%4."/>
      <w:lvlJc w:val="left"/>
      <w:pPr>
        <w:ind w:left="0" w:leftChars="0" w:firstLine="0" w:firstLineChars="0"/>
      </w:pPr>
      <w:rPr>
        <w:rFonts w:hint="default" w:ascii="微软雅黑" w:hAnsi="微软雅黑" w:eastAsia="微软雅黑"/>
      </w:rPr>
    </w:lvl>
    <w:lvl w:ilvl="4" w:tentative="0">
      <w:start w:val="1"/>
      <w:numFmt w:val="decimal"/>
      <w:pStyle w:val="6"/>
      <w:lvlText w:val="%1.%2.%3.%4.%5."/>
      <w:lvlJc w:val="left"/>
      <w:pPr>
        <w:tabs>
          <w:tab w:val="left" w:pos="0"/>
        </w:tabs>
        <w:ind w:left="0" w:leftChars="0" w:firstLine="0" w:firstLineChars="0"/>
      </w:pPr>
      <w:rPr>
        <w:rFonts w:hint="default" w:ascii="微软雅黑" w:hAnsi="微软雅黑" w:eastAsia="微软雅黑"/>
      </w:rPr>
    </w:lvl>
    <w:lvl w:ilvl="5" w:tentative="0">
      <w:start w:val="1"/>
      <w:numFmt w:val="decimal"/>
      <w:pStyle w:val="8"/>
      <w:suff w:val="space"/>
      <w:lvlText w:val="%1.%2.%3.%4.%5.%6."/>
      <w:lvlJc w:val="left"/>
      <w:pPr>
        <w:ind w:left="0" w:leftChars="0" w:firstLine="0" w:firstLineChars="0"/>
      </w:pPr>
      <w:rPr>
        <w:rFonts w:hint="default"/>
      </w:rPr>
    </w:lvl>
    <w:lvl w:ilvl="6" w:tentative="0">
      <w:start w:val="1"/>
      <w:numFmt w:val="decimal"/>
      <w:pStyle w:val="9"/>
      <w:lvlText w:val="%1.%2.%3.%4.%5.%6.%7."/>
      <w:lvlJc w:val="left"/>
      <w:pPr>
        <w:tabs>
          <w:tab w:val="left" w:pos="0"/>
        </w:tabs>
        <w:ind w:left="0" w:leftChars="0" w:firstLine="0" w:firstLineChars="0"/>
      </w:pPr>
      <w:rPr>
        <w:rFonts w:hint="default"/>
      </w:rPr>
    </w:lvl>
    <w:lvl w:ilvl="7" w:tentative="0">
      <w:start w:val="1"/>
      <w:numFmt w:val="decimal"/>
      <w:pStyle w:val="10"/>
      <w:suff w:val="space"/>
      <w:lvlText w:val="%1.%2.%3.%4.%5.%6.%7.%8."/>
      <w:lvlJc w:val="left"/>
      <w:pPr>
        <w:ind w:left="0" w:leftChars="0" w:firstLine="0" w:firstLineChars="0"/>
      </w:pPr>
      <w:rPr>
        <w:rFonts w:hint="default"/>
      </w:rPr>
    </w:lvl>
    <w:lvl w:ilvl="8" w:tentative="0">
      <w:start w:val="1"/>
      <w:numFmt w:val="decimal"/>
      <w:pStyle w:val="11"/>
      <w:lvlText w:val="%1.%2.%3.%4.%5.%6.%7.%8.%9."/>
      <w:lvlJc w:val="left"/>
      <w:pPr>
        <w:tabs>
          <w:tab w:val="left" w:pos="0"/>
        </w:tabs>
        <w:ind w:left="0" w:leftChars="0" w:firstLine="0" w:firstLineChars="0"/>
      </w:pPr>
      <w:rPr>
        <w:rFonts w:hint="default"/>
      </w:rPr>
    </w:lvl>
  </w:abstractNum>
  <w:abstractNum w:abstractNumId="10">
    <w:nsid w:val="4FBEA50B"/>
    <w:multiLevelType w:val="multilevel"/>
    <w:tmpl w:val="4FBEA50B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9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6"/>
  </w:num>
  <w:num w:numId="8">
    <w:abstractNumId w:val="10"/>
  </w:num>
  <w:num w:numId="9">
    <w:abstractNumId w:val="1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9C31C4"/>
    <w:rsid w:val="169C31C4"/>
    <w:rsid w:val="42792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after="20" w:afterLines="20" w:line="288" w:lineRule="auto"/>
      <w:jc w:val="both"/>
    </w:pPr>
    <w:rPr>
      <w:rFonts w:eastAsia="微软雅黑" w:asciiTheme="minorAscii" w:hAnsiTheme="minorAscii" w:cstheme="minorBidi"/>
      <w:snapToGrid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9"/>
    <w:pPr>
      <w:keepNext/>
      <w:keepLines/>
      <w:numPr>
        <w:ilvl w:val="0"/>
        <w:numId w:val="1"/>
      </w:numPr>
      <w:tabs>
        <w:tab w:val="left" w:pos="0"/>
      </w:tabs>
      <w:adjustRightInd w:val="0"/>
      <w:snapToGrid w:val="0"/>
      <w:spacing w:before="50" w:beforeLines="50" w:after="20" w:afterLines="20" w:line="288" w:lineRule="auto"/>
      <w:ind w:left="0" w:firstLine="0"/>
      <w:outlineLvl w:val="0"/>
    </w:pPr>
    <w:rPr>
      <w:rFonts w:ascii="微软雅黑" w:hAnsi="微软雅黑" w:eastAsia="微软雅黑" w:cstheme="minorBidi"/>
      <w:b/>
      <w:bCs/>
      <w:kern w:val="44"/>
      <w:sz w:val="36"/>
      <w:szCs w:val="36"/>
    </w:rPr>
  </w:style>
  <w:style w:type="paragraph" w:styleId="3">
    <w:name w:val="heading 2"/>
    <w:next w:val="1"/>
    <w:unhideWhenUsed/>
    <w:qFormat/>
    <w:uiPriority w:val="9"/>
    <w:pPr>
      <w:numPr>
        <w:ilvl w:val="1"/>
        <w:numId w:val="1"/>
      </w:numPr>
      <w:tabs>
        <w:tab w:val="left" w:pos="0"/>
      </w:tabs>
      <w:adjustRightInd w:val="0"/>
      <w:snapToGrid w:val="0"/>
      <w:spacing w:before="50" w:beforeLines="50" w:after="20" w:afterLines="20" w:line="288" w:lineRule="auto"/>
      <w:ind w:left="0" w:firstLine="0"/>
      <w:outlineLvl w:val="1"/>
    </w:pPr>
    <w:rPr>
      <w:rFonts w:ascii="微软雅黑" w:hAnsi="微软雅黑" w:eastAsia="微软雅黑" w:cstheme="minorBidi"/>
      <w:b/>
      <w:bCs/>
      <w:kern w:val="2"/>
      <w:sz w:val="32"/>
      <w:szCs w:val="32"/>
    </w:rPr>
  </w:style>
  <w:style w:type="paragraph" w:styleId="4">
    <w:name w:val="heading 3"/>
    <w:next w:val="1"/>
    <w:unhideWhenUsed/>
    <w:qFormat/>
    <w:uiPriority w:val="9"/>
    <w:pPr>
      <w:numPr>
        <w:ilvl w:val="2"/>
        <w:numId w:val="1"/>
      </w:numPr>
      <w:tabs>
        <w:tab w:val="left" w:pos="0"/>
        <w:tab w:val="left" w:pos="312"/>
      </w:tabs>
      <w:adjustRightInd w:val="0"/>
      <w:snapToGrid w:val="0"/>
      <w:spacing w:before="50" w:beforeLines="50" w:after="20" w:afterLines="20" w:line="288" w:lineRule="auto"/>
      <w:ind w:left="0" w:firstLine="0"/>
      <w:outlineLvl w:val="2"/>
    </w:pPr>
    <w:rPr>
      <w:rFonts w:ascii="微软雅黑" w:hAnsi="微软雅黑" w:eastAsia="微软雅黑" w:cstheme="minorBidi"/>
      <w:b/>
      <w:kern w:val="2"/>
      <w:sz w:val="30"/>
      <w:szCs w:val="30"/>
    </w:rPr>
  </w:style>
  <w:style w:type="paragraph" w:styleId="5">
    <w:name w:val="heading 4"/>
    <w:next w:val="1"/>
    <w:unhideWhenUsed/>
    <w:qFormat/>
    <w:uiPriority w:val="9"/>
    <w:pPr>
      <w:numPr>
        <w:ilvl w:val="3"/>
        <w:numId w:val="1"/>
      </w:numPr>
      <w:tabs>
        <w:tab w:val="left" w:pos="0"/>
      </w:tabs>
      <w:adjustRightInd w:val="0"/>
      <w:snapToGrid w:val="0"/>
      <w:spacing w:before="50" w:beforeLines="50" w:after="20" w:afterLines="20" w:line="288" w:lineRule="auto"/>
      <w:ind w:left="0" w:firstLine="0"/>
      <w:outlineLvl w:val="3"/>
    </w:pPr>
    <w:rPr>
      <w:rFonts w:ascii="微软雅黑" w:hAnsi="微软雅黑" w:eastAsia="微软雅黑" w:cstheme="minorBidi"/>
      <w:b/>
      <w:bCs/>
      <w:sz w:val="28"/>
      <w:szCs w:val="28"/>
    </w:rPr>
  </w:style>
  <w:style w:type="paragraph" w:styleId="6">
    <w:name w:val="heading 5"/>
    <w:basedOn w:val="1"/>
    <w:next w:val="7"/>
    <w:unhideWhenUsed/>
    <w:qFormat/>
    <w:uiPriority w:val="9"/>
    <w:pPr>
      <w:numPr>
        <w:ilvl w:val="4"/>
        <w:numId w:val="1"/>
      </w:numPr>
      <w:tabs>
        <w:tab w:val="left" w:pos="312"/>
      </w:tabs>
      <w:spacing w:before="50" w:beforeLines="50" w:after="20" w:afterLines="20"/>
      <w:ind w:left="0" w:firstLine="0"/>
      <w:jc w:val="left"/>
      <w:outlineLvl w:val="4"/>
    </w:pPr>
    <w:rPr>
      <w:rFonts w:ascii="Arial" w:hAnsi="Arial"/>
      <w:b/>
      <w:sz w:val="24"/>
      <w:szCs w:val="22"/>
    </w:rPr>
  </w:style>
  <w:style w:type="paragraph" w:styleId="8">
    <w:name w:val="heading 6"/>
    <w:basedOn w:val="1"/>
    <w:next w:val="7"/>
    <w:unhideWhenUsed/>
    <w:qFormat/>
    <w:uiPriority w:val="0"/>
    <w:pPr>
      <w:numPr>
        <w:ilvl w:val="5"/>
        <w:numId w:val="1"/>
      </w:numPr>
      <w:tabs>
        <w:tab w:val="left" w:pos="0"/>
      </w:tabs>
      <w:spacing w:before="50" w:beforeLines="50" w:after="20" w:afterLines="20" w:line="288" w:lineRule="auto"/>
      <w:ind w:left="0" w:firstLine="0"/>
      <w:outlineLvl w:val="5"/>
    </w:pPr>
    <w:rPr>
      <w:rFonts w:ascii="微软雅黑" w:hAnsi="微软雅黑"/>
      <w:b/>
      <w:bCs/>
      <w:sz w:val="24"/>
    </w:rPr>
  </w:style>
  <w:style w:type="paragraph" w:styleId="9">
    <w:name w:val="heading 7"/>
    <w:basedOn w:val="1"/>
    <w:next w:val="7"/>
    <w:unhideWhenUsed/>
    <w:qFormat/>
    <w:uiPriority w:val="0"/>
    <w:pPr>
      <w:numPr>
        <w:ilvl w:val="6"/>
        <w:numId w:val="1"/>
      </w:numPr>
      <w:spacing w:before="50" w:beforeLines="50" w:after="20" w:afterLines="20" w:line="288" w:lineRule="auto"/>
      <w:ind w:left="0" w:firstLine="0"/>
      <w:jc w:val="left"/>
      <w:outlineLvl w:val="6"/>
    </w:pPr>
    <w:rPr>
      <w:rFonts w:ascii="微软雅黑" w:hAnsi="微软雅黑"/>
      <w:b/>
      <w:bCs/>
      <w:sz w:val="24"/>
    </w:rPr>
  </w:style>
  <w:style w:type="paragraph" w:styleId="10">
    <w:name w:val="heading 8"/>
    <w:basedOn w:val="1"/>
    <w:next w:val="7"/>
    <w:unhideWhenUsed/>
    <w:qFormat/>
    <w:uiPriority w:val="0"/>
    <w:pPr>
      <w:numPr>
        <w:ilvl w:val="7"/>
        <w:numId w:val="1"/>
      </w:numPr>
      <w:tabs>
        <w:tab w:val="left" w:pos="0"/>
      </w:tabs>
      <w:spacing w:before="50" w:beforeLines="50" w:after="20" w:afterLines="20" w:line="288" w:lineRule="auto"/>
      <w:ind w:left="0" w:firstLine="0"/>
      <w:outlineLvl w:val="7"/>
    </w:pPr>
    <w:rPr>
      <w:rFonts w:ascii="微软雅黑" w:hAnsi="微软雅黑" w:cstheme="majorBidi"/>
      <w:b/>
      <w:bCs/>
      <w:sz w:val="24"/>
    </w:rPr>
  </w:style>
  <w:style w:type="paragraph" w:styleId="11">
    <w:name w:val="heading 9"/>
    <w:basedOn w:val="1"/>
    <w:next w:val="7"/>
    <w:unhideWhenUsed/>
    <w:qFormat/>
    <w:uiPriority w:val="0"/>
    <w:pPr>
      <w:numPr>
        <w:ilvl w:val="8"/>
        <w:numId w:val="1"/>
      </w:numPr>
      <w:spacing w:before="50" w:beforeLines="50" w:after="20" w:afterLines="20" w:line="288" w:lineRule="auto"/>
      <w:ind w:left="0" w:firstLine="0"/>
      <w:outlineLvl w:val="8"/>
    </w:pPr>
    <w:rPr>
      <w:rFonts w:ascii="微软雅黑" w:hAnsi="微软雅黑" w:cstheme="majorBidi"/>
      <w:b/>
      <w:bCs/>
      <w:sz w:val="24"/>
      <w:szCs w:val="24"/>
    </w:rPr>
  </w:style>
  <w:style w:type="character" w:default="1" w:styleId="31">
    <w:name w:val="Default Paragraph Font"/>
    <w:semiHidden/>
    <w:qFormat/>
    <w:uiPriority w:val="0"/>
  </w:style>
  <w:style w:type="table" w:default="1" w:styleId="3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basedOn w:val="1"/>
    <w:qFormat/>
    <w:uiPriority w:val="0"/>
    <w:pPr>
      <w:spacing w:after="20" w:afterLines="20" w:afterAutospacing="0" w:line="288" w:lineRule="auto"/>
      <w:ind w:firstLine="0" w:firstLineChars="0"/>
    </w:pPr>
    <w:rPr>
      <w:rFonts w:ascii="微软雅黑" w:hAnsi="微软雅黑"/>
      <w:szCs w:val="21"/>
    </w:rPr>
  </w:style>
  <w:style w:type="paragraph" w:styleId="12">
    <w:name w:val="caption"/>
    <w:basedOn w:val="1"/>
    <w:next w:val="1"/>
    <w:unhideWhenUsed/>
    <w:qFormat/>
    <w:uiPriority w:val="0"/>
    <w:pPr>
      <w:ind w:firstLine="0" w:firstLineChars="0"/>
    </w:pPr>
    <w:rPr>
      <w:rFonts w:ascii="微软雅黑" w:hAnsi="微软雅黑" w:cs="Times New Roman"/>
      <w:sz w:val="20"/>
      <w:szCs w:val="20"/>
    </w:rPr>
  </w:style>
  <w:style w:type="paragraph" w:styleId="13">
    <w:name w:val="annotation text"/>
    <w:basedOn w:val="1"/>
    <w:qFormat/>
    <w:uiPriority w:val="0"/>
    <w:pPr>
      <w:jc w:val="left"/>
    </w:pPr>
    <w:rPr>
      <w:rFonts w:ascii="微软雅黑" w:hAnsi="微软雅黑"/>
      <w:color w:val="262626" w:themeColor="text1" w:themeTint="D9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4">
    <w:name w:val="Salutation"/>
    <w:basedOn w:val="1"/>
    <w:next w:val="1"/>
    <w:qFormat/>
    <w:uiPriority w:val="0"/>
    <w:pPr>
      <w:ind w:firstLine="0" w:firstLineChars="0"/>
    </w:pPr>
    <w:rPr>
      <w:rFonts w:ascii="微软雅黑" w:hAnsi="微软雅黑"/>
      <w:szCs w:val="21"/>
    </w:rPr>
  </w:style>
  <w:style w:type="paragraph" w:styleId="15">
    <w:name w:val="toc 3"/>
    <w:basedOn w:val="1"/>
    <w:next w:val="1"/>
    <w:uiPriority w:val="0"/>
    <w:pPr>
      <w:ind w:left="840" w:leftChars="400"/>
    </w:pPr>
  </w:style>
  <w:style w:type="paragraph" w:styleId="16">
    <w:name w:val="Date"/>
    <w:basedOn w:val="1"/>
    <w:next w:val="1"/>
    <w:qFormat/>
    <w:uiPriority w:val="0"/>
    <w:pPr>
      <w:ind w:firstLine="0" w:firstLineChars="0"/>
      <w:jc w:val="right"/>
    </w:pPr>
    <w:rPr>
      <w:rFonts w:ascii="微软雅黑" w:hAnsi="微软雅黑"/>
      <w:color w:val="262626" w:themeColor="text1" w:themeTint="D9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7">
    <w:name w:val="endnote text"/>
    <w:basedOn w:val="1"/>
    <w:qFormat/>
    <w:uiPriority w:val="0"/>
    <w:pPr>
      <w:jc w:val="left"/>
    </w:pPr>
    <w:rPr>
      <w:rFonts w:ascii="微软雅黑" w:hAnsi="微软雅黑"/>
      <w:color w:val="262626" w:themeColor="text1" w:themeTint="D9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8">
    <w:name w:val="Balloon Text"/>
    <w:basedOn w:val="1"/>
    <w:qFormat/>
    <w:uiPriority w:val="0"/>
    <w:rPr>
      <w:rFonts w:ascii="微软雅黑" w:hAnsi="微软雅黑"/>
      <w:sz w:val="18"/>
      <w:szCs w:val="18"/>
    </w:rPr>
  </w:style>
  <w:style w:type="paragraph" w:styleId="19">
    <w:name w:val="footer"/>
    <w:basedOn w:val="1"/>
    <w:qFormat/>
    <w:uiPriority w:val="0"/>
    <w:pPr>
      <w:tabs>
        <w:tab w:val="center" w:pos="4153"/>
        <w:tab w:val="right" w:pos="8306"/>
      </w:tabs>
      <w:ind w:firstLine="0" w:firstLineChars="0"/>
      <w:jc w:val="left"/>
    </w:pPr>
    <w:rPr>
      <w:rFonts w:ascii="微软雅黑" w:hAnsi="微软雅黑"/>
      <w:sz w:val="18"/>
      <w:szCs w:val="18"/>
    </w:rPr>
  </w:style>
  <w:style w:type="paragraph" w:styleId="2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pacing w:line="240" w:lineRule="auto"/>
      <w:ind w:firstLine="0" w:firstLineChars="0"/>
    </w:pPr>
    <w:rPr>
      <w:rFonts w:ascii="微软雅黑" w:hAnsi="微软雅黑"/>
      <w:sz w:val="18"/>
      <w:szCs w:val="18"/>
    </w:rPr>
  </w:style>
  <w:style w:type="paragraph" w:styleId="21">
    <w:name w:val="Signature"/>
    <w:basedOn w:val="1"/>
    <w:qFormat/>
    <w:uiPriority w:val="0"/>
    <w:pPr>
      <w:ind w:firstLine="0" w:firstLineChars="0"/>
      <w:jc w:val="right"/>
    </w:pPr>
    <w:rPr>
      <w:rFonts w:ascii="微软雅黑" w:hAnsi="微软雅黑"/>
      <w:color w:val="262626" w:themeColor="text1" w:themeTint="D9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22">
    <w:name w:val="toc 1"/>
    <w:basedOn w:val="1"/>
    <w:next w:val="1"/>
    <w:qFormat/>
    <w:uiPriority w:val="0"/>
  </w:style>
  <w:style w:type="paragraph" w:styleId="23">
    <w:name w:val="Subtitle"/>
    <w:basedOn w:val="1"/>
    <w:next w:val="7"/>
    <w:qFormat/>
    <w:uiPriority w:val="0"/>
    <w:pPr>
      <w:spacing w:beforeLines="0" w:beforeAutospacing="0" w:after="100" w:afterLines="100" w:afterAutospacing="0" w:line="240" w:lineRule="auto"/>
      <w:jc w:val="center"/>
      <w:outlineLvl w:val="9"/>
    </w:pPr>
    <w:rPr>
      <w:rFonts w:ascii="微软雅黑" w:hAnsi="微软雅黑"/>
      <w:b/>
      <w:bCs/>
      <w:kern w:val="28"/>
      <w:sz w:val="36"/>
      <w:szCs w:val="36"/>
    </w:rPr>
  </w:style>
  <w:style w:type="paragraph" w:styleId="24">
    <w:name w:val="footnote text"/>
    <w:basedOn w:val="1"/>
    <w:qFormat/>
    <w:uiPriority w:val="0"/>
    <w:pPr>
      <w:jc w:val="left"/>
    </w:pPr>
    <w:rPr>
      <w:rFonts w:ascii="微软雅黑" w:hAnsi="微软雅黑" w:eastAsia="微软雅黑"/>
      <w:sz w:val="24"/>
    </w:rPr>
  </w:style>
  <w:style w:type="paragraph" w:styleId="25">
    <w:name w:val="toc 2"/>
    <w:basedOn w:val="1"/>
    <w:next w:val="1"/>
    <w:qFormat/>
    <w:uiPriority w:val="0"/>
    <w:pPr>
      <w:ind w:left="420" w:leftChars="200"/>
    </w:pPr>
  </w:style>
  <w:style w:type="paragraph" w:styleId="26">
    <w:name w:val="HTML Preformatted"/>
    <w:basedOn w:val="1"/>
    <w:uiPriority w:val="0"/>
    <w:rPr>
      <w:rFonts w:ascii="Courier New" w:hAnsi="Courier New"/>
      <w:sz w:val="20"/>
    </w:rPr>
  </w:style>
  <w:style w:type="paragraph" w:styleId="27">
    <w:name w:val="Normal (Web)"/>
    <w:basedOn w:val="1"/>
    <w:qFormat/>
    <w:uiPriority w:val="0"/>
    <w:rPr>
      <w:rFonts w:ascii="微软雅黑" w:hAnsi="微软雅黑"/>
      <w:sz w:val="24"/>
    </w:rPr>
  </w:style>
  <w:style w:type="paragraph" w:styleId="28">
    <w:name w:val="Title"/>
    <w:basedOn w:val="1"/>
    <w:qFormat/>
    <w:uiPriority w:val="10"/>
    <w:pPr>
      <w:spacing w:after="100" w:afterLines="100" w:line="288" w:lineRule="auto"/>
      <w:jc w:val="center"/>
      <w:outlineLvl w:val="9"/>
    </w:pPr>
    <w:rPr>
      <w:rFonts w:ascii="微软雅黑" w:hAnsi="微软雅黑"/>
      <w:b/>
      <w:bCs/>
      <w:sz w:val="48"/>
      <w:szCs w:val="48"/>
    </w:rPr>
  </w:style>
  <w:style w:type="paragraph" w:styleId="29">
    <w:name w:val="annotation subject"/>
    <w:basedOn w:val="13"/>
    <w:next w:val="13"/>
    <w:qFormat/>
    <w:uiPriority w:val="0"/>
    <w:rPr>
      <w:b/>
      <w:bCs/>
    </w:rPr>
  </w:style>
  <w:style w:type="character" w:styleId="32">
    <w:name w:val="Strong"/>
    <w:basedOn w:val="31"/>
    <w:qFormat/>
    <w:uiPriority w:val="22"/>
    <w:rPr>
      <w:rFonts w:ascii="微软雅黑" w:hAnsi="微软雅黑" w:eastAsia="微软雅黑"/>
      <w:b/>
      <w:color w:val="auto"/>
      <w:u w:val="single"/>
    </w:rPr>
  </w:style>
  <w:style w:type="character" w:styleId="33">
    <w:name w:val="endnote reference"/>
    <w:basedOn w:val="31"/>
    <w:qFormat/>
    <w:uiPriority w:val="0"/>
    <w:rPr>
      <w:rFonts w:ascii="微软雅黑" w:hAnsi="微软雅黑" w:eastAsia="微软雅黑"/>
      <w:color w:val="262626" w:themeColor="text1" w:themeTint="D9"/>
      <w:vertAlign w:val="superscript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styleId="34">
    <w:name w:val="page number"/>
    <w:qFormat/>
    <w:uiPriority w:val="0"/>
    <w:rPr>
      <w:rFonts w:ascii="微软雅黑" w:hAnsi="微软雅黑" w:eastAsia="微软雅黑" w:cs="Times New Roman"/>
      <w:color w:val="262626" w:themeColor="text1" w:themeTint="D9"/>
      <w:spacing w:val="-6"/>
      <w:kern w:val="2"/>
      <w:sz w:val="21"/>
      <w:szCs w:val="21"/>
      <w:lang w:val="en-US" w:eastAsia="zh-CN" w:bidi="ar-SA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styleId="35">
    <w:name w:val="FollowedHyperlink"/>
    <w:basedOn w:val="31"/>
    <w:qFormat/>
    <w:uiPriority w:val="0"/>
    <w:rPr>
      <w:rFonts w:ascii="微软雅黑" w:hAnsi="微软雅黑" w:eastAsia="微软雅黑" w:cs="Times New Roman"/>
      <w:color w:val="800080"/>
      <w:spacing w:val="-6"/>
      <w:kern w:val="2"/>
      <w:sz w:val="24"/>
      <w:szCs w:val="24"/>
      <w:u w:val="single"/>
      <w:lang w:val="en-US" w:eastAsia="zh-CN" w:bidi="ar-SA"/>
    </w:rPr>
  </w:style>
  <w:style w:type="character" w:styleId="36">
    <w:name w:val="Emphasis"/>
    <w:basedOn w:val="31"/>
    <w:qFormat/>
    <w:uiPriority w:val="20"/>
    <w:rPr>
      <w:rFonts w:ascii="Arial" w:hAnsi="Arial" w:eastAsia="微软雅黑"/>
      <w:b/>
      <w:bCs/>
      <w:i/>
      <w:color w:val="auto"/>
      <w:sz w:val="24"/>
      <w:szCs w:val="22"/>
    </w:rPr>
  </w:style>
  <w:style w:type="character" w:styleId="37">
    <w:name w:val="Hyperlink"/>
    <w:basedOn w:val="31"/>
    <w:qFormat/>
    <w:uiPriority w:val="0"/>
    <w:rPr>
      <w:rFonts w:ascii="微软雅黑" w:hAnsi="微软雅黑" w:eastAsia="微软雅黑" w:cs="Times New Roman"/>
      <w:caps/>
      <w:color w:val="0000FF"/>
      <w:spacing w:val="-6"/>
      <w:kern w:val="2"/>
      <w:sz w:val="24"/>
      <w:szCs w:val="24"/>
      <w:u w:val="single"/>
      <w:lang w:val="en-US" w:eastAsia="zh-CN" w:bidi="ar-SA"/>
    </w:rPr>
  </w:style>
  <w:style w:type="character" w:styleId="38">
    <w:name w:val="annotation reference"/>
    <w:basedOn w:val="31"/>
    <w:qFormat/>
    <w:uiPriority w:val="0"/>
    <w:rPr>
      <w:rFonts w:ascii="微软雅黑" w:hAnsi="微软雅黑" w:eastAsia="微软雅黑"/>
      <w:color w:val="262626" w:themeColor="text1" w:themeTint="D9"/>
      <w:sz w:val="21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styleId="39">
    <w:name w:val="footnote reference"/>
    <w:basedOn w:val="31"/>
    <w:qFormat/>
    <w:uiPriority w:val="0"/>
    <w:rPr>
      <w:rFonts w:ascii="微软雅黑" w:hAnsi="微软雅黑" w:eastAsia="微软雅黑"/>
      <w:color w:val="262626" w:themeColor="text1" w:themeTint="D9"/>
      <w:vertAlign w:val="superscript"/>
      <w14:textFill>
        <w14:solidFill>
          <w14:schemeClr w14:val="tx1">
            <w14:lumMod w14:val="85000"/>
            <w14:lumOff w14:val="15000"/>
          </w14:schemeClr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49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2026-06-25T07:23:00Z</dcterms:created>
  <dc:creator>WPS</dc:creator>
  <cp:lastModifiedBy>WPS</cp:lastModifiedBy>
  <dcterms:modified xsi:type="dcterms:W3CDTF">2026-06-25T07:31:57Z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2A957986448A479FA81EDD20634862D5_11</vt:lpwstr>
  </property>
</Properties>
</file>